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0"/>
        <w:spacing w:lineRule="auto" w:line="241" w:after="0" w:beforeAutospacing="0" w:afterAutospacing="0"/>
        <w:ind w:left="5692" w:right="-20"/>
        <w:rPr>
          <w:rFonts w:ascii="Times New Roman" w:hAnsi="Times New Roman"/>
          <w:color w:val="000000"/>
          <w:sz w:val="28"/>
          <w:szCs w:val="28"/>
          <w:lang w:eastAsia="uk-UA"/>
        </w:rPr>
      </w:pPr>
      <w:r>
        <w:rPr>
          <w:rFonts w:ascii="Times New Roman" w:hAnsi="Times New Roman"/>
          <w:color w:val="000000"/>
          <w:sz w:val="28"/>
          <w:szCs w:val="28"/>
          <w:lang w:eastAsia="uk-UA"/>
        </w:rPr>
        <w:t>ЗАТВЕРДЖЕНО</w:t>
      </w:r>
    </w:p>
    <w:p>
      <w:pPr>
        <w:widowControl w:val="0"/>
        <w:spacing w:lineRule="auto" w:line="239" w:after="0" w:beforeAutospacing="0" w:afterAutospacing="0"/>
        <w:ind w:left="5692" w:right="-25"/>
        <w:rPr>
          <w:rFonts w:ascii="Times New Roman" w:hAnsi="Times New Roman"/>
          <w:color w:val="000000"/>
          <w:sz w:val="28"/>
          <w:szCs w:val="28"/>
          <w:lang w:val="ru-RU" w:eastAsia="uk-UA"/>
        </w:rPr>
      </w:pPr>
      <w:r>
        <w:rPr>
          <w:rFonts w:ascii="Times New Roman" w:hAnsi="Times New Roman"/>
          <w:color w:val="000000"/>
          <w:sz w:val="28"/>
          <w:szCs w:val="28"/>
          <w:lang w:eastAsia="uk-UA"/>
        </w:rPr>
        <w:t>наказ Державного агентства України ПлейСіті</w:t>
      </w:r>
    </w:p>
    <w:p>
      <w:pPr>
        <w:widowControl w:val="0"/>
        <w:spacing w:lineRule="auto" w:line="239" w:after="0" w:beforeAutospacing="0" w:afterAutospacing="0"/>
        <w:ind w:left="5692" w:right="-25"/>
        <w:rPr>
          <w:rFonts w:ascii="Times New Roman" w:hAnsi="Times New Roman"/>
          <w:color w:val="000000"/>
          <w:sz w:val="28"/>
          <w:szCs w:val="28"/>
          <w:lang w:val="ru-RU" w:eastAsia="uk-UA"/>
        </w:rPr>
      </w:pPr>
    </w:p>
    <w:p>
      <w:pPr>
        <w:widowControl w:val="0"/>
        <w:spacing w:lineRule="auto" w:line="239" w:after="0" w:beforeAutospacing="0" w:afterAutospacing="0"/>
        <w:ind w:left="5692" w:right="-25"/>
        <w:rPr>
          <w:rFonts w:ascii="Times New Roman" w:hAnsi="Times New Roman"/>
          <w:color w:val="000000"/>
          <w:sz w:val="28"/>
          <w:szCs w:val="28"/>
          <w:lang w:eastAsia="uk-UA"/>
        </w:rPr>
      </w:pPr>
      <w:r>
        <w:rPr>
          <w:rFonts w:ascii="Times New Roman" w:hAnsi="Times New Roman"/>
          <w:color w:val="000000"/>
          <w:sz w:val="28"/>
          <w:szCs w:val="28"/>
          <w:lang w:eastAsia="uk-UA"/>
        </w:rPr>
        <w:t>___________№________</w:t>
      </w:r>
    </w:p>
    <w:p>
      <w:pPr>
        <w:shd w:val="clear" w:fill="FFFFFF"/>
        <w:spacing w:lineRule="auto" w:line="240" w:after="0" w:beforeAutospacing="0" w:afterAutospacing="0"/>
        <w:rPr>
          <w:rFonts w:ascii="Times New Roman" w:hAnsi="Times New Roman"/>
          <w:sz w:val="28"/>
          <w:szCs w:val="28"/>
          <w:lang w:eastAsia="uk-UA"/>
        </w:rPr>
      </w:pPr>
    </w:p>
    <w:p>
      <w:pPr>
        <w:shd w:val="clear" w:fill="FFFFFF"/>
        <w:spacing w:lineRule="auto" w:line="240" w:after="0" w:beforeAutospacing="0" w:afterAutospacing="0"/>
        <w:rPr>
          <w:rFonts w:ascii="Times New Roman" w:hAnsi="Times New Roman"/>
          <w:sz w:val="28"/>
          <w:szCs w:val="28"/>
          <w:lang w:eastAsia="uk-UA"/>
        </w:rPr>
      </w:pPr>
    </w:p>
    <w:p>
      <w:pPr>
        <w:shd w:val="clear" w:fill="FFFFFF"/>
        <w:spacing w:lineRule="auto" w:line="240" w:after="0" w:beforeAutospacing="0" w:afterAutospacing="0"/>
        <w:jc w:val="center"/>
        <w:rPr>
          <w:rFonts w:ascii="Times New Roman" w:hAnsi="Times New Roman"/>
          <w:b w:val="1"/>
          <w:bCs w:val="1"/>
          <w:sz w:val="28"/>
          <w:szCs w:val="28"/>
          <w:lang w:eastAsia="uk-UA"/>
        </w:rPr>
      </w:pPr>
      <w:r>
        <w:rPr>
          <w:rFonts w:ascii="Times New Roman" w:hAnsi="Times New Roman"/>
          <w:b w:val="1"/>
          <w:bCs w:val="1"/>
          <w:sz w:val="28"/>
          <w:szCs w:val="28"/>
          <w:lang w:eastAsia="uk-UA"/>
        </w:rPr>
        <w:t>ПОЛОЖЕННЯ</w:t>
      </w:r>
    </w:p>
    <w:p>
      <w:pPr>
        <w:shd w:val="clear" w:fill="FFFFFF"/>
        <w:spacing w:lineRule="auto" w:line="240" w:after="0" w:beforeAutospacing="0" w:afterAutospacing="0"/>
        <w:jc w:val="center"/>
        <w:rPr>
          <w:rFonts w:ascii="Times New Roman" w:hAnsi="Times New Roman"/>
          <w:sz w:val="28"/>
          <w:szCs w:val="28"/>
          <w:lang w:eastAsia="uk-UA"/>
        </w:rPr>
      </w:pPr>
      <w:r>
        <w:rPr>
          <w:rFonts w:ascii="Times New Roman" w:hAnsi="Times New Roman"/>
          <w:b w:val="1"/>
          <w:bCs w:val="1"/>
          <w:sz w:val="28"/>
          <w:szCs w:val="28"/>
          <w:lang w:eastAsia="uk-UA"/>
        </w:rPr>
        <w:t>щодо впровадження в</w:t>
      </w:r>
      <w:r>
        <w:rPr>
          <w:rFonts w:ascii="Times New Roman" w:hAnsi="Times New Roman"/>
          <w:b w:val="1"/>
          <w:bCs w:val="1"/>
          <w:sz w:val="28"/>
          <w:szCs w:val="28"/>
        </w:rPr>
        <w:t xml:space="preserve"> Державному агентстві України ПлейСіті</w:t>
      </w:r>
      <w:r>
        <w:rPr>
          <w:rFonts w:ascii="Times New Roman" w:hAnsi="Times New Roman"/>
          <w:b w:val="1"/>
          <w:bCs w:val="1"/>
          <w:sz w:val="28"/>
          <w:szCs w:val="28"/>
          <w:lang w:eastAsia="uk-UA"/>
        </w:rPr>
        <w:t xml:space="preserve"> механізмів заохочення викривачів та формування культури повідомлення про можливі факти корупційних або пов’язаних із корупцією правопорушень, інших порушень Закону України «Про запобігання корупції»</w:t>
      </w:r>
    </w:p>
    <w:p>
      <w:pPr>
        <w:shd w:val="clear" w:fill="FFFFFF"/>
        <w:spacing w:lineRule="auto" w:line="240" w:after="0" w:beforeAutospacing="0" w:afterAutospacing="0"/>
        <w:ind w:firstLine="567"/>
        <w:jc w:val="both"/>
        <w:rPr>
          <w:rFonts w:ascii="Times New Roman" w:hAnsi="Times New Roman"/>
          <w:b w:val="1"/>
          <w:bCs w:val="1"/>
          <w:sz w:val="28"/>
          <w:szCs w:val="28"/>
          <w:lang w:eastAsia="uk-UA"/>
        </w:rPr>
      </w:pPr>
      <w:bookmarkStart w:id="0" w:name="n14"/>
      <w:bookmarkEnd w:id="0"/>
    </w:p>
    <w:p>
      <w:pPr>
        <w:shd w:val="clear" w:fill="FFFFFF"/>
        <w:spacing w:lineRule="auto" w:line="240" w:after="0" w:beforeAutospacing="0" w:afterAutospacing="0"/>
        <w:ind w:firstLine="567"/>
        <w:jc w:val="center"/>
        <w:rPr>
          <w:rFonts w:ascii="Times New Roman" w:hAnsi="Times New Roman"/>
          <w:b w:val="1"/>
          <w:bCs w:val="1"/>
          <w:sz w:val="28"/>
          <w:szCs w:val="28"/>
          <w:lang w:eastAsia="uk-UA"/>
        </w:rPr>
      </w:pPr>
      <w:r>
        <w:rPr>
          <w:rFonts w:ascii="Times New Roman" w:hAnsi="Times New Roman"/>
          <w:b w:val="1"/>
          <w:bCs w:val="1"/>
          <w:sz w:val="28"/>
          <w:szCs w:val="28"/>
          <w:lang w:eastAsia="uk-UA"/>
        </w:rPr>
        <w:t>I. Загальні положення</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 w:name="n15"/>
      <w:bookmarkEnd w:id="1"/>
      <w:r>
        <w:rPr>
          <w:rFonts w:ascii="Times New Roman" w:hAnsi="Times New Roman"/>
          <w:sz w:val="28"/>
          <w:szCs w:val="28"/>
          <w:lang w:eastAsia="uk-UA"/>
        </w:rPr>
        <w:t>1. Це Положення визначає механізми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(далі – Закон) в Агентстві ПлейСіті та порядок їх впровадження.</w:t>
      </w: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2" w:name="n16"/>
      <w:bookmarkEnd w:id="2"/>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2.</w:t>
      </w:r>
      <w:r>
        <w:t xml:space="preserve"> </w:t>
      </w:r>
      <w:r>
        <w:rPr>
          <w:rFonts w:ascii="Times New Roman" w:hAnsi="Times New Roman"/>
          <w:sz w:val="28"/>
          <w:szCs w:val="28"/>
          <w:lang w:eastAsia="uk-UA"/>
        </w:rPr>
        <w:t>Агентство ПлейСіті заохочує в межах повноважень викривачів та сприяє їм у повідомленні про можливі факти корупційних або пов’язаних із корупцією правопорушень, інших порушень Закону (далі – повідомлення) в порядку, визначеному законодавством.</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 xml:space="preserve">3. Це Положення поширюється на всіх працівників </w:t>
      </w:r>
      <w:bookmarkStart w:id="3" w:name="_Hlk200096846"/>
      <w:r>
        <w:rPr>
          <w:rFonts w:ascii="Times New Roman" w:hAnsi="Times New Roman"/>
          <w:sz w:val="28"/>
          <w:szCs w:val="28"/>
          <w:lang w:eastAsia="uk-UA"/>
        </w:rPr>
        <w:t>Агентства ПлейСіті.</w:t>
      </w:r>
      <w:bookmarkEnd w:id="3"/>
      <w:bookmarkStart w:id="4" w:name="n17"/>
      <w:bookmarkEnd w:id="4"/>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4. У цьому Положенні терміни вживаються у значеннях, наведених у Законі</w:t>
      </w:r>
      <w:bookmarkStart w:id="5" w:name="n18"/>
      <w:bookmarkEnd w:id="5"/>
      <w:bookmarkStart w:id="6" w:name="n22"/>
      <w:bookmarkEnd w:id="6"/>
      <w:r>
        <w:rPr>
          <w:rFonts w:ascii="Times New Roman" w:hAnsi="Times New Roman"/>
          <w:sz w:val="28"/>
          <w:szCs w:val="28"/>
          <w:lang w:eastAsia="uk-UA"/>
        </w:rPr>
        <w:t>.</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center"/>
        <w:rPr>
          <w:rFonts w:ascii="Times New Roman" w:hAnsi="Times New Roman"/>
          <w:b w:val="1"/>
          <w:bCs w:val="1"/>
          <w:sz w:val="28"/>
          <w:szCs w:val="28"/>
          <w:lang w:eastAsia="uk-UA"/>
        </w:rPr>
      </w:pPr>
      <w:bookmarkStart w:id="7" w:name="n23"/>
      <w:bookmarkEnd w:id="7"/>
      <w:r>
        <w:rPr>
          <w:rFonts w:ascii="Times New Roman" w:hAnsi="Times New Roman"/>
          <w:b w:val="1"/>
          <w:bCs w:val="1"/>
          <w:sz w:val="28"/>
          <w:szCs w:val="28"/>
          <w:lang w:eastAsia="uk-UA"/>
        </w:rPr>
        <w:t>II. Форми заохочення та формування культури повідомлення</w:t>
      </w:r>
    </w:p>
    <w:p>
      <w:pPr>
        <w:shd w:val="clear" w:fill="FFFFFF"/>
        <w:spacing w:lineRule="auto" w:line="240" w:after="0" w:beforeAutospacing="0" w:afterAutospacing="0"/>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8" w:name="n24"/>
      <w:bookmarkEnd w:id="8"/>
      <w:r>
        <w:rPr>
          <w:rFonts w:ascii="Times New Roman" w:hAnsi="Times New Roman"/>
          <w:sz w:val="28"/>
          <w:szCs w:val="28"/>
          <w:lang w:eastAsia="uk-UA"/>
        </w:rPr>
        <w:t>1.</w:t>
      </w:r>
      <w:r>
        <w:t xml:space="preserve"> </w:t>
      </w:r>
      <w:r>
        <w:rPr>
          <w:rFonts w:ascii="Times New Roman" w:hAnsi="Times New Roman"/>
          <w:sz w:val="28"/>
          <w:szCs w:val="28"/>
          <w:lang w:eastAsia="uk-UA"/>
        </w:rPr>
        <w:t>Заохочення викривачів реалізується у таких формах:</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надання методичної та консультативної допомоги щодо здійснення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моральне заохочення працівників, які є викривачами.</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9" w:name="n25"/>
      <w:bookmarkEnd w:id="9"/>
      <w:r>
        <w:rPr>
          <w:rFonts w:ascii="Times New Roman" w:hAnsi="Times New Roman"/>
          <w:sz w:val="28"/>
          <w:szCs w:val="28"/>
          <w:lang w:eastAsia="uk-UA"/>
        </w:rPr>
        <w:t>2.</w:t>
      </w:r>
      <w:r>
        <w:t xml:space="preserve"> </w:t>
      </w:r>
      <w:r>
        <w:rPr>
          <w:rFonts w:ascii="Times New Roman" w:hAnsi="Times New Roman"/>
          <w:sz w:val="28"/>
          <w:szCs w:val="28"/>
          <w:lang w:eastAsia="uk-UA"/>
        </w:rPr>
        <w:t>Механізми формування культури повідомлення реалізуються у таких формах:</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проведення навчань працівників з питань формування культури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 xml:space="preserve">проведення комунікаційних кампаній та систематичне здійснення просвітницьких заходів. </w:t>
      </w:r>
    </w:p>
    <w:p>
      <w:pPr>
        <w:shd w:val="clear" w:fill="FFFFFF"/>
        <w:spacing w:lineRule="auto" w:line="240" w:after="0" w:beforeAutospacing="0" w:afterAutospacing="0"/>
        <w:ind w:firstLine="567"/>
        <w:jc w:val="center"/>
        <w:rPr>
          <w:rFonts w:ascii="Times New Roman" w:hAnsi="Times New Roman"/>
          <w:sz w:val="28"/>
          <w:szCs w:val="28"/>
          <w:lang w:eastAsia="uk-UA"/>
        </w:rPr>
      </w:pPr>
    </w:p>
    <w:p>
      <w:pPr>
        <w:shd w:val="clear" w:fill="FFFFFF"/>
        <w:spacing w:lineRule="auto" w:line="240" w:after="0" w:beforeAutospacing="0" w:afterAutospacing="0"/>
        <w:ind w:firstLine="567"/>
        <w:jc w:val="center"/>
        <w:rPr>
          <w:rFonts w:ascii="Times New Roman" w:hAnsi="Times New Roman"/>
          <w:b w:val="1"/>
          <w:bCs w:val="1"/>
          <w:sz w:val="28"/>
          <w:szCs w:val="28"/>
          <w:lang w:eastAsia="uk-UA"/>
        </w:rPr>
      </w:pPr>
      <w:r>
        <w:rPr>
          <w:rFonts w:ascii="Times New Roman" w:hAnsi="Times New Roman"/>
          <w:b w:val="1"/>
          <w:bCs w:val="1"/>
          <w:sz w:val="28"/>
          <w:szCs w:val="28"/>
          <w:lang w:eastAsia="uk-UA"/>
        </w:rPr>
        <w:t>III. Організаційні засади щодо функціонування механізму заохочення та формування культури повідомлення</w:t>
      </w:r>
    </w:p>
    <w:p>
      <w:pPr>
        <w:shd w:val="clear" w:fill="FFFFFF"/>
        <w:spacing w:lineRule="auto" w:line="240" w:after="0" w:beforeAutospacing="0" w:afterAutospacing="0"/>
        <w:ind w:firstLine="567"/>
        <w:jc w:val="both"/>
        <w:rPr>
          <w:rFonts w:ascii="Times New Roman" w:hAnsi="Times New Roman"/>
          <w:b w:val="1"/>
          <w:bCs w:val="1"/>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0" w:name="n31"/>
      <w:bookmarkEnd w:id="10"/>
      <w:r>
        <w:rPr>
          <w:rFonts w:ascii="Times New Roman" w:hAnsi="Times New Roman"/>
          <w:sz w:val="28"/>
          <w:szCs w:val="28"/>
          <w:lang w:eastAsia="uk-UA"/>
        </w:rPr>
        <w:t xml:space="preserve">1. Керівництво </w:t>
      </w:r>
      <w:bookmarkStart w:id="11" w:name="_Hlk200097152"/>
      <w:r>
        <w:rPr>
          <w:rFonts w:ascii="Times New Roman" w:hAnsi="Times New Roman"/>
          <w:sz w:val="28"/>
          <w:szCs w:val="28"/>
          <w:lang w:eastAsia="uk-UA"/>
        </w:rPr>
        <w:t xml:space="preserve">Агентства ПлейСіті </w:t>
      </w:r>
      <w:bookmarkEnd w:id="11"/>
      <w:r>
        <w:rPr>
          <w:rFonts w:ascii="Times New Roman" w:hAnsi="Times New Roman"/>
          <w:sz w:val="28"/>
          <w:szCs w:val="28"/>
          <w:lang w:eastAsia="uk-UA"/>
        </w:rPr>
        <w:t>організовує та контролює роботу щодо формування культури повідомлення про корупцію та забезпечення функціонування механізму заохочення викривачів.</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2" w:name="n32"/>
      <w:bookmarkEnd w:id="12"/>
      <w:r>
        <w:rPr>
          <w:rFonts w:ascii="Times New Roman" w:hAnsi="Times New Roman"/>
          <w:sz w:val="28"/>
          <w:szCs w:val="28"/>
          <w:lang w:eastAsia="uk-UA"/>
        </w:rPr>
        <w:t>2. Організаційне забезпечення функціонування механізму заохочення та формування культури повідомлення здійснює Головний спеціаліст з питань запобігання корупції (далі – Уповноважена особа).</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3" w:name="n33"/>
      <w:bookmarkEnd w:id="13"/>
      <w:r>
        <w:rPr>
          <w:rFonts w:ascii="Times New Roman" w:hAnsi="Times New Roman"/>
          <w:sz w:val="28"/>
          <w:szCs w:val="28"/>
          <w:lang w:eastAsia="uk-UA"/>
        </w:rPr>
        <w:t>3. Уповноважена особа вживає заходи, спрямовані на забезпечення дотримання прав та гарантій захисту, передбачених законом, щодо працівників Агентства ПлейСіті, які є викривачами.</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4" w:name="n34"/>
      <w:bookmarkEnd w:id="14"/>
      <w:r>
        <w:rPr>
          <w:rFonts w:ascii="Times New Roman" w:hAnsi="Times New Roman"/>
          <w:sz w:val="28"/>
          <w:szCs w:val="28"/>
          <w:lang w:eastAsia="uk-UA"/>
        </w:rPr>
        <w:t>4. Заходи заохочення та формування культури повідомлення здійснюються шляхом:</w:t>
      </w: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5" w:name="n35"/>
      <w:bookmarkEnd w:id="15"/>
      <w:r>
        <w:rPr>
          <w:rFonts w:ascii="Times New Roman" w:hAnsi="Times New Roman"/>
          <w:sz w:val="28"/>
          <w:szCs w:val="28"/>
          <w:lang w:eastAsia="uk-UA"/>
        </w:rPr>
        <w:t>послідовної та систематичної роботи щодо запобігання корупції в Агентстві ПлейСіті;</w:t>
      </w: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6" w:name="n36"/>
      <w:bookmarkEnd w:id="16"/>
      <w:r>
        <w:rPr>
          <w:rFonts w:ascii="Times New Roman" w:hAnsi="Times New Roman"/>
          <w:sz w:val="28"/>
          <w:szCs w:val="28"/>
          <w:lang w:eastAsia="uk-UA"/>
        </w:rPr>
        <w:t>неприпустимості всіх видів корупційних практик в Агентстві ПлейСіті;</w:t>
      </w:r>
    </w:p>
    <w:p>
      <w:pPr>
        <w:shd w:val="clear" w:fill="FFFFFF"/>
        <w:spacing w:lineRule="auto" w:line="240" w:after="0" w:beforeAutospacing="0" w:afterAutospacing="0"/>
        <w:ind w:firstLine="567"/>
        <w:jc w:val="both"/>
      </w:pPr>
      <w:bookmarkStart w:id="17" w:name="n37"/>
      <w:bookmarkEnd w:id="17"/>
      <w:r>
        <w:rPr>
          <w:rFonts w:ascii="Times New Roman" w:hAnsi="Times New Roman"/>
          <w:sz w:val="28"/>
          <w:szCs w:val="28"/>
          <w:lang w:eastAsia="uk-UA"/>
        </w:rPr>
        <w:t>об’єктивного та неупередженого реагування на кожне обґрунтоване повідомлення;</w:t>
      </w:r>
      <w:r>
        <w:t xml:space="preserve"> </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невідворотності відповідальності у випадку виявлення корупційних або пов’язаних з корупцією правопорушень, інших порушень Закону;</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забезпечення конфіденційності при взаємодії з викривачами;</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прийняття найбільш сприятливого для викривача рішення у повсякденній діяльності Агентства ПлейСіті в межах дискреційних повноважень;</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негайного реагування на всі негативні заходи впливу або загрозу їх застосування щодо викривачів.</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18" w:name="n38"/>
      <w:bookmarkEnd w:id="18"/>
      <w:bookmarkStart w:id="19" w:name="n42"/>
      <w:bookmarkEnd w:id="19"/>
      <w:r>
        <w:rPr>
          <w:rFonts w:ascii="Times New Roman" w:hAnsi="Times New Roman"/>
          <w:sz w:val="28"/>
          <w:szCs w:val="28"/>
          <w:lang w:eastAsia="uk-UA"/>
        </w:rPr>
        <w:t>5. Моральне стимулювання може здійснюватися шляхом застосування заходів заохочення, передбачених відповідними нормами законодавства, без розкриття у внутрішньому документі (наказі) про застосування заходу заохочення дійсних підстав заохочення, за винятком випадків, коли викривач надав письмову згоду на розкриття інформації про його особу.</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bookmarkStart w:id="20" w:name="n43"/>
      <w:bookmarkEnd w:id="20"/>
      <w:bookmarkStart w:id="21" w:name="n44"/>
      <w:bookmarkEnd w:id="21"/>
      <w:r>
        <w:rPr>
          <w:rFonts w:ascii="Times New Roman" w:hAnsi="Times New Roman"/>
          <w:sz w:val="28"/>
          <w:szCs w:val="28"/>
          <w:lang w:eastAsia="uk-UA"/>
        </w:rPr>
        <w:t>6. Моральне заохочення може також здійснюватися шляхом:</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представлення до нагородження урядовими відзнаками та відзначення урядовою нагородою;</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представлення до відзначення нагородами Верховної Ради України;</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представлення до відзначення заохочувальними відзнаками Прем’єр-міністра України;</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представлення до відзначення державними нагородами.</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7. Уповноважена особа забезпечує здійснення заходів заохочення та формування культури повідомлень у Агентстві ПлейСіті шляхом:</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ефективної організації роботи внутрішніх каналів для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якісного та своєчасного розгляду повідомлень, що надійшли через канали для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постійної взаємодії з викривачем та інформування його про стан і результати розгляду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надання методичної та консультативної допомоги, проведення внутрішніх навчань щодо здійснення повідомлень та захисту викривачів;</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надання пропозицій керівництву щодо морального заохочення;</w:t>
      </w: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розміщення на офіційному вебсайті та внутрішніх ресурсах інформації про канали для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center"/>
        <w:rPr>
          <w:rFonts w:ascii="Times New Roman" w:hAnsi="Times New Roman"/>
          <w:b w:val="1"/>
          <w:bCs w:val="1"/>
          <w:sz w:val="28"/>
          <w:szCs w:val="28"/>
          <w:lang w:eastAsia="uk-UA"/>
        </w:rPr>
      </w:pPr>
      <w:r>
        <w:rPr>
          <w:rFonts w:ascii="Times New Roman" w:hAnsi="Times New Roman"/>
          <w:b w:val="1"/>
          <w:bCs w:val="1"/>
          <w:sz w:val="28"/>
          <w:szCs w:val="28"/>
          <w:lang w:eastAsia="uk-UA"/>
        </w:rPr>
        <w:t>IV. Права та гарантії захисту працівників Агентства ПлейСіті як викривачів</w:t>
      </w:r>
    </w:p>
    <w:p>
      <w:pPr>
        <w:shd w:val="clear" w:fill="FFFFFF"/>
        <w:spacing w:lineRule="auto" w:line="240" w:after="0" w:beforeAutospacing="0" w:afterAutospacing="0"/>
        <w:ind w:firstLine="567"/>
        <w:jc w:val="center"/>
        <w:rPr>
          <w:rFonts w:ascii="Times New Roman" w:hAnsi="Times New Roman"/>
          <w:b w:val="1"/>
          <w:bCs w:val="1"/>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1. Права викривача виникають з моменту здійснення повідомлення.</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2. Викривач має право звернутися за роз’ясненням своїх прав до Уповноваженої особи.</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3. Працівник Агентства ПлейСіті, який є викривачем, згідно із Законом, має права визначені статтею 53</w:t>
      </w:r>
      <w:r>
        <w:rPr>
          <w:rFonts w:ascii="Times New Roman" w:hAnsi="Times New Roman"/>
          <w:sz w:val="28"/>
          <w:szCs w:val="28"/>
          <w:vertAlign w:val="superscript"/>
          <w:lang w:eastAsia="uk-UA"/>
        </w:rPr>
        <w:t>3</w:t>
      </w:r>
      <w:r>
        <w:rPr>
          <w:rFonts w:ascii="Times New Roman" w:hAnsi="Times New Roman"/>
          <w:sz w:val="28"/>
          <w:szCs w:val="28"/>
          <w:lang w:eastAsia="uk-UA"/>
        </w:rPr>
        <w:t xml:space="preserve"> Закону.</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4. Права та гарантії захисту викривача поширюються на його близьких осіб.</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5. Викривач має право на захист його трудових прав.</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6. Крім передбачених Законом гарантій захисту викривача, у зв’язку із здійсненим повідомленням, з метою захисту викривача, Агентство ПлейСіті вживає заходів для попередження дискримінації викривача, порівняно з іншими працівниками, недопущення зміни посадових обов’язків, залякування чи будь-яких інших форм психологічного впливу.</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7. Посадовим особам Агентства ПлейСіті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8. Будь-яке повідомлення є конфіденційним, навіть якщо особа не є викривачем в розумінні норм Закону.</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r>
        <w:rPr>
          <w:rFonts w:ascii="Times New Roman" w:hAnsi="Times New Roman"/>
          <w:sz w:val="28"/>
          <w:szCs w:val="28"/>
          <w:lang w:eastAsia="uk-UA"/>
        </w:rPr>
        <w:t>9. Розкриття (розголошення) інформації про викривача заборонено, крім випадків, встановлених Законом.</w:t>
      </w: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ind w:firstLine="567"/>
        <w:jc w:val="both"/>
        <w:rPr>
          <w:rFonts w:ascii="Times New Roman" w:hAnsi="Times New Roman"/>
          <w:sz w:val="28"/>
          <w:szCs w:val="28"/>
          <w:lang w:eastAsia="uk-UA"/>
        </w:rPr>
      </w:pPr>
    </w:p>
    <w:p>
      <w:pPr>
        <w:shd w:val="clear" w:fill="FFFFFF"/>
        <w:spacing w:lineRule="auto" w:line="240" w:after="0" w:beforeAutospacing="0" w:afterAutospacing="0"/>
        <w:jc w:val="center"/>
        <w:rPr>
          <w:rFonts w:ascii="Times New Roman" w:hAnsi="Times New Roman"/>
          <w:b w:val="1"/>
          <w:bCs w:val="1"/>
          <w:sz w:val="28"/>
          <w:szCs w:val="28"/>
          <w:lang w:eastAsia="uk-UA"/>
        </w:rPr>
      </w:pPr>
      <w:r>
        <w:rPr>
          <w:rFonts w:ascii="Times New Roman" w:hAnsi="Times New Roman"/>
          <w:b w:val="1"/>
          <w:bCs w:val="0"/>
          <w:smallCaps w:val="0"/>
          <w:sz w:val="28"/>
          <w:szCs w:val="22"/>
          <w:cs w:val="0"/>
          <w:spacing w:val="0"/>
          <w:w w:val="100"/>
          <w:position w:val="0"/>
          <w:snapToGrid w:val="1"/>
          <w:lang w:eastAsia="uk-UA"/>
        </w:rPr>
        <w:t>_______________________________________</w:t>
      </w:r>
    </w:p>
    <w:sectPr>
      <w:headerReference w:type="default" r:id="RelHdr1"/>
      <w:footnotePr/>
      <w:endnotePr/>
      <w:type w:val="nextPage"/>
      <w:pgSz w:w="11906" w:h="16838" w:code="0"/>
      <w:pgMar w:left="1701" w:right="567" w:top="1134" w:bottom="1701" w:header="709" w:footer="709" w:gutter="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5"/>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w:t>
    </w:r>
    <w:r>
      <w:rPr>
        <w:rFonts w:ascii="Times New Roman" w:hAnsi="Times New Roman"/>
        <w:sz w:val="28"/>
        <w:szCs w:val="28"/>
      </w:rPr>
      <w:fldChar w:fldCharType="end"/>
    </w:r>
  </w:p>
</w:hdr>
</file>

<file path=word/numbering.xml><?xml version="1.0" encoding="utf-8"?>
<w:numbering xmlns:w="http://schemas.openxmlformats.org/wordprocessingml/2006/main"/>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4"/>
        <w:szCs w:val="24"/>
        <w:kern w:val="2"/>
        <w:lang w:val="uk-UA" w:bidi="ar-SA" w:eastAsia="en-US"/>
      </w:rPr>
    </w:rPrDefault>
    <w:pPrDefault>
      <w:pPr>
        <w:keepNext w:val="0"/>
        <w:keepLines w:val="0"/>
        <w:pageBreakBefore w:val="0"/>
        <w:widowControl w:val="1"/>
        <w:suppressLineNumbers w:val="0"/>
        <w:shd w:val="clear" w:fill="auto"/>
        <w:suppressAutoHyphens w:val="0"/>
        <w:spacing w:lineRule="auto" w:line="278"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color w:val="2F5496"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color w:val="2F5496"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color w:val="2F5496"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i w:val="1"/>
      <w:iCs w:val="1"/>
      <w:color w:val="2F5496"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color w:val="2F5496"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sz w:val="56"/>
      <w:szCs w:val="56"/>
      <w:spacing w:val="-10"/>
      <w:kern w:val="28"/>
    </w:rPr>
  </w:style>
  <w:style w:type="paragraph" w:styleId="P11">
    <w:name w:val="Subtitle"/>
    <w:basedOn w:val="P0"/>
    <w:next w:val="P0"/>
    <w:link w:val="C13"/>
    <w:qFormat/>
    <w:pPr/>
    <w:rPr>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2F5496" w:themeColor="accent1" w:themeShade="BF"/>
        <w:left w:val="none" w:sz="0" w:space="0" w:shadow="0" w:frame="0" w:color="auto"/>
        <w:bottom w:val="single" w:sz="4" w:space="10" w:shadow="0" w:frame="0" w:color="2F5496"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2F5496" w:themeColor="accent1" w:themeShade="BF"/>
    </w:rPr>
  </w:style>
  <w:style w:type="paragraph" w:styleId="P15">
    <w:name w:val="Header"/>
    <w:basedOn w:val="P0"/>
    <w:link w:val="C19"/>
    <w:pPr>
      <w:tabs>
        <w:tab w:val="center" w:pos="4819" w:leader="none"/>
        <w:tab w:val="right" w:pos="9639" w:leader="none"/>
      </w:tabs>
      <w:spacing w:lineRule="auto" w:line="240" w:after="0" w:beforeAutospacing="0" w:afterAutospacing="0"/>
    </w:pPr>
    <w:rPr/>
  </w:style>
  <w:style w:type="paragraph" w:styleId="P16">
    <w:name w:val="Footer"/>
    <w:basedOn w:val="P0"/>
    <w:link w:val="C20"/>
    <w:pPr>
      <w:tabs>
        <w:tab w:val="center" w:pos="4819" w:leader="none"/>
        <w:tab w:val="right" w:pos="9639" w:leader="none"/>
      </w:tabs>
      <w:spacing w:lineRule="auto" w:line="240" w:after="0" w:beforeAutospacing="0" w:afterAutospacing="0"/>
    </w:pPr>
    <w:rPr/>
  </w:style>
  <w:style w:type="paragraph" w:styleId="P17">
    <w:name w:val="Footnote Text"/>
    <w:link w:val="C22"/>
    <w:semiHidden/>
    <w:pPr>
      <w:spacing w:lineRule="auto" w:line="240" w:after="0"/>
    </w:pPr>
    <w:rPr>
      <w:sz w:val="20"/>
      <w:szCs w:val="20"/>
    </w:rPr>
  </w:style>
  <w:style w:type="paragraph" w:styleId="P18">
    <w:name w:val="Endnote Text"/>
    <w:link w:val="C24"/>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themeColor="hyperlink"/>
      <w:u w:val="single"/>
    </w:rPr>
  </w:style>
  <w:style w:type="character" w:styleId="C3">
    <w:name w:val="Заголовок 1 Знак"/>
    <w:basedOn w:val="C0"/>
    <w:link w:val="P1"/>
    <w:rPr>
      <w:color w:val="2F5496" w:themeColor="accent1" w:themeShade="BF"/>
      <w:sz w:val="40"/>
      <w:szCs w:val="40"/>
    </w:rPr>
  </w:style>
  <w:style w:type="character" w:styleId="C4">
    <w:name w:val="Заголовок 2 Знак"/>
    <w:basedOn w:val="C0"/>
    <w:link w:val="P2"/>
    <w:semiHidden/>
    <w:rPr>
      <w:color w:val="2F5496" w:themeColor="accent1" w:themeShade="BF"/>
      <w:sz w:val="32"/>
      <w:szCs w:val="32"/>
    </w:rPr>
  </w:style>
  <w:style w:type="character" w:styleId="C5">
    <w:name w:val="Заголовок 3 Знак"/>
    <w:basedOn w:val="C0"/>
    <w:link w:val="P3"/>
    <w:semiHidden/>
    <w:rPr>
      <w:color w:val="2F5496" w:themeColor="accent1" w:themeShade="BF"/>
      <w:sz w:val="28"/>
      <w:szCs w:val="28"/>
    </w:rPr>
  </w:style>
  <w:style w:type="character" w:styleId="C6">
    <w:name w:val="Заголовок 4 Знак"/>
    <w:basedOn w:val="C0"/>
    <w:link w:val="P4"/>
    <w:semiHidden/>
    <w:rPr>
      <w:i w:val="1"/>
      <w:iCs w:val="1"/>
      <w:color w:val="2F5496" w:themeColor="accent1" w:themeShade="BF"/>
    </w:rPr>
  </w:style>
  <w:style w:type="character" w:styleId="C7">
    <w:name w:val="Заголовок 5 Знак"/>
    <w:basedOn w:val="C0"/>
    <w:link w:val="P5"/>
    <w:semiHidden/>
    <w:rPr>
      <w:color w:val="2F5496" w:themeColor="accent1" w:themeShade="BF"/>
    </w:rPr>
  </w:style>
  <w:style w:type="character" w:styleId="C8">
    <w:name w:val="Заголовок 6 Знак"/>
    <w:basedOn w:val="C0"/>
    <w:link w:val="P6"/>
    <w:semiHidden/>
    <w:rPr>
      <w:i w:val="1"/>
      <w:iCs w:val="1"/>
      <w:color w:val="595959" w:themeColor="text1" w:themeTint="A6"/>
    </w:rPr>
  </w:style>
  <w:style w:type="character" w:styleId="C9">
    <w:name w:val="Заголовок 7 Знак"/>
    <w:basedOn w:val="C0"/>
    <w:link w:val="P7"/>
    <w:semiHidden/>
    <w:rPr>
      <w:color w:val="595959" w:themeColor="text1" w:themeTint="A6"/>
    </w:rPr>
  </w:style>
  <w:style w:type="character" w:styleId="C10">
    <w:name w:val="Заголовок 8 Знак"/>
    <w:basedOn w:val="C0"/>
    <w:link w:val="P8"/>
    <w:semiHidden/>
    <w:rPr>
      <w:i w:val="1"/>
      <w:iCs w:val="1"/>
      <w:color w:val="272727" w:themeColor="text1" w:themeTint="D8"/>
    </w:rPr>
  </w:style>
  <w:style w:type="character" w:styleId="C11">
    <w:name w:val="Заголовок 9 Знак"/>
    <w:basedOn w:val="C0"/>
    <w:link w:val="P9"/>
    <w:semiHidden/>
    <w:rPr>
      <w:color w:val="272727" w:themeColor="text1" w:themeTint="D8"/>
    </w:rPr>
  </w:style>
  <w:style w:type="character" w:styleId="C12">
    <w:name w:val="Заголовок Знак"/>
    <w:basedOn w:val="C0"/>
    <w:link w:val="P10"/>
    <w:rPr>
      <w:sz w:val="56"/>
      <w:szCs w:val="56"/>
      <w:spacing w:val="-10"/>
      <w:kern w:val="28"/>
    </w:rPr>
  </w:style>
  <w:style w:type="character" w:styleId="C13">
    <w:name w:val="Подзаголовок Знак"/>
    <w:basedOn w:val="C0"/>
    <w:link w:val="P11"/>
    <w:rPr>
      <w:color w:val="595959" w:themeColor="text1" w:themeTint="A6"/>
      <w:sz w:val="28"/>
      <w:szCs w:val="28"/>
      <w:spacing w:val="15"/>
    </w:rPr>
  </w:style>
  <w:style w:type="character" w:styleId="C14">
    <w:name w:val="Цитата 2 Знак"/>
    <w:basedOn w:val="C0"/>
    <w:link w:val="P12"/>
    <w:rPr>
      <w:i w:val="1"/>
      <w:iCs w:val="1"/>
      <w:color w:val="404040" w:themeColor="text1" w:themeTint="BF"/>
    </w:rPr>
  </w:style>
  <w:style w:type="character" w:styleId="C15">
    <w:name w:val="Intense Emphasis"/>
    <w:basedOn w:val="C0"/>
    <w:qFormat/>
    <w:rPr>
      <w:i w:val="1"/>
      <w:iCs w:val="1"/>
      <w:color w:val="2F5496" w:themeColor="accent1" w:themeShade="BF"/>
    </w:rPr>
  </w:style>
  <w:style w:type="character" w:styleId="C16">
    <w:name w:val="Выделенная цитата Знак"/>
    <w:basedOn w:val="C0"/>
    <w:link w:val="P14"/>
    <w:rPr>
      <w:i w:val="1"/>
      <w:iCs w:val="1"/>
      <w:color w:val="2F5496" w:themeColor="accent1" w:themeShade="BF"/>
    </w:rPr>
  </w:style>
  <w:style w:type="character" w:styleId="C17">
    <w:name w:val="Intense Reference1"/>
    <w:basedOn w:val="C0"/>
    <w:qFormat/>
    <w:rPr>
      <w:b w:val="1"/>
      <w:bCs w:val="1"/>
      <w:smallCaps w:val="1"/>
      <w:color w:val="2F5496" w:themeColor="accent1" w:themeShade="BF"/>
      <w:spacing w:val="5"/>
    </w:rPr>
  </w:style>
  <w:style w:type="character" w:styleId="C18">
    <w:name w:val="Unresolved Mention1"/>
    <w:basedOn w:val="C0"/>
    <w:semiHidden/>
    <w:rPr>
      <w:color w:val="605E5C"/>
      <w:shd w:val="clear" w:color="auto" w:fill="E1DFDD"/>
    </w:rPr>
  </w:style>
  <w:style w:type="character" w:styleId="C19">
    <w:name w:val="Верхний колонтитул Знак"/>
    <w:basedOn w:val="C0"/>
    <w:link w:val="P15"/>
    <w:rPr/>
  </w:style>
  <w:style w:type="character" w:styleId="C20">
    <w:name w:val="Нижний колонтитул Знак"/>
    <w:basedOn w:val="C0"/>
    <w:link w:val="P16"/>
    <w:rPr/>
  </w:style>
  <w:style w:type="character" w:styleId="C21">
    <w:name w:val="Footnote Reference"/>
    <w:semiHidden/>
    <w:rPr>
      <w:vertAlign w:val="superscript"/>
    </w:rPr>
  </w:style>
  <w:style w:type="character" w:styleId="C22">
    <w:name w:val="Footnote Text Char"/>
    <w:link w:val="P17"/>
    <w:semiHidden/>
    <w:rPr>
      <w:sz w:val="20"/>
      <w:szCs w:val="20"/>
    </w:rPr>
  </w:style>
  <w:style w:type="character" w:styleId="C23">
    <w:name w:val="Endnote Reference"/>
    <w:semiHidden/>
    <w:rPr>
      <w:vertAlign w:val="superscript"/>
    </w:rPr>
  </w:style>
  <w:style w:type="character" w:styleId="C24">
    <w:name w:val="Endnote Text Char"/>
    <w:link w:val="P1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webSettings.xml><?xml version="1.0" encoding="utf-8"?>
<w:webSettings xmlns:w="http://schemas.openxmlformats.org/wordprocessingml/2006/main">
  <w:divs>
    <w:div w:id="1435129479">
      <w:bodyDiv w:val="1"/>
      <w:marLeft w:val="0"/>
      <w:marRight w:val="0"/>
      <w:marTop w:val="0"/>
      <w:marBottom w:val="150"/>
    </w:div>
  </w:divs>
</w:webSetting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WebSettings1" Type="http://schemas.openxmlformats.org/officeDocument/2006/relationships/webSettings" Target="webSetting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Андрій Сутковий</dc:creator>
  <dcterms:created xsi:type="dcterms:W3CDTF">2026-02-25T09:33:00Z</dcterms:created>
  <dcterms:modified xsi:type="dcterms:W3CDTF">2026-03-16T12:44:26Z</dcterms:modified>
  <cp:revision>7</cp:revision>
</cp:coreProperties>
</file>